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216" w:rsidRDefault="00EC7216" w:rsidP="00EC7216">
      <w:pPr>
        <w:pStyle w:val="af0"/>
        <w:tabs>
          <w:tab w:val="center" w:pos="5159"/>
          <w:tab w:val="right" w:pos="10318"/>
        </w:tabs>
        <w:jc w:val="right"/>
        <w:rPr>
          <w:lang w:val="uk-UA"/>
        </w:rPr>
      </w:pPr>
      <w:r>
        <w:rPr>
          <w:lang w:val="uk-UA"/>
        </w:rPr>
        <w:t xml:space="preserve">Додаток 1 </w:t>
      </w:r>
    </w:p>
    <w:p w:rsidR="00EC7216" w:rsidRPr="00EC7216" w:rsidRDefault="00EC7216" w:rsidP="00EC7216">
      <w:pPr>
        <w:pStyle w:val="af0"/>
        <w:jc w:val="right"/>
        <w:rPr>
          <w:lang w:val="uk-UA"/>
        </w:rPr>
      </w:pPr>
      <w:r>
        <w:rPr>
          <w:lang w:val="uk-UA"/>
        </w:rPr>
        <w:t>до реєстраційного посвідчення АВ-00950-01-10</w:t>
      </w:r>
    </w:p>
    <w:p w:rsidR="00EC7216" w:rsidRDefault="00EC7216" w:rsidP="005F1540">
      <w:pPr>
        <w:spacing w:line="360" w:lineRule="auto"/>
        <w:jc w:val="center"/>
        <w:rPr>
          <w:b/>
          <w:lang w:val="uk-UA"/>
        </w:rPr>
      </w:pPr>
    </w:p>
    <w:p w:rsidR="005F1540" w:rsidRPr="00EC7216" w:rsidRDefault="005F1540" w:rsidP="005F1540">
      <w:pPr>
        <w:spacing w:line="360" w:lineRule="auto"/>
        <w:jc w:val="center"/>
        <w:rPr>
          <w:lang w:val="uk-UA"/>
        </w:rPr>
      </w:pPr>
      <w:r w:rsidRPr="00EC7216">
        <w:rPr>
          <w:b/>
          <w:lang w:val="uk-UA"/>
        </w:rPr>
        <w:t>Коротка характеристика препарату</w:t>
      </w:r>
    </w:p>
    <w:p w:rsidR="005F1540" w:rsidRPr="00EC7216" w:rsidRDefault="005F1540" w:rsidP="005F1540">
      <w:pPr>
        <w:ind w:firstLine="567"/>
        <w:rPr>
          <w:b/>
          <w:lang w:val="uk-UA"/>
        </w:rPr>
      </w:pPr>
      <w:r w:rsidRPr="00EC7216">
        <w:rPr>
          <w:b/>
          <w:lang w:val="uk-UA"/>
        </w:rPr>
        <w:t>1. Назва  препарату.</w:t>
      </w:r>
    </w:p>
    <w:p w:rsidR="005F1540" w:rsidRPr="00EC7216" w:rsidRDefault="005F1540" w:rsidP="005F1540">
      <w:pPr>
        <w:ind w:firstLine="567"/>
        <w:jc w:val="both"/>
      </w:pPr>
      <w:r w:rsidRPr="00EC7216">
        <w:rPr>
          <w:lang w:val="uk-UA"/>
        </w:rPr>
        <w:t>ТІАМУН 10%</w:t>
      </w:r>
    </w:p>
    <w:p w:rsidR="005F1540" w:rsidRPr="00EC7216" w:rsidRDefault="005F1540" w:rsidP="005F1540">
      <w:pPr>
        <w:ind w:firstLine="567"/>
        <w:rPr>
          <w:b/>
        </w:rPr>
      </w:pPr>
      <w:r w:rsidRPr="00EC7216">
        <w:rPr>
          <w:b/>
          <w:lang w:val="uk-UA"/>
        </w:rPr>
        <w:t xml:space="preserve">2. </w:t>
      </w:r>
      <w:r w:rsidRPr="00EC7216">
        <w:rPr>
          <w:b/>
        </w:rPr>
        <w:t>Склад</w:t>
      </w:r>
    </w:p>
    <w:p w:rsidR="005F1540" w:rsidRPr="00EC7216" w:rsidRDefault="005F1540" w:rsidP="005F1540">
      <w:pPr>
        <w:shd w:val="clear" w:color="auto" w:fill="FFFFFF"/>
        <w:ind w:firstLine="567"/>
      </w:pPr>
      <w:r w:rsidRPr="00EC7216">
        <w:rPr>
          <w:spacing w:val="-2"/>
        </w:rPr>
        <w:t>1 мл препарату містить діючу речовину:</w:t>
      </w:r>
    </w:p>
    <w:p w:rsidR="005F1540" w:rsidRPr="00EC7216" w:rsidRDefault="005F1540" w:rsidP="005F1540">
      <w:pPr>
        <w:shd w:val="clear" w:color="auto" w:fill="FFFFFF"/>
        <w:ind w:firstLine="547"/>
      </w:pPr>
      <w:r w:rsidRPr="00EC7216">
        <w:t xml:space="preserve">тіамуліну гідроген фумарат </w:t>
      </w:r>
      <w:r w:rsidRPr="00EC7216">
        <w:rPr>
          <w:lang w:val="uk-UA"/>
        </w:rPr>
        <w:t>–</w:t>
      </w:r>
      <w:r w:rsidRPr="00EC7216">
        <w:t xml:space="preserve"> 100 мг.</w:t>
      </w:r>
    </w:p>
    <w:p w:rsidR="005F1540" w:rsidRPr="00EC7216" w:rsidRDefault="005F1540" w:rsidP="005F1540">
      <w:pPr>
        <w:ind w:firstLine="545"/>
        <w:jc w:val="both"/>
        <w:rPr>
          <w:spacing w:val="-1"/>
        </w:rPr>
      </w:pPr>
      <w:r w:rsidRPr="00EC7216">
        <w:rPr>
          <w:spacing w:val="-1"/>
        </w:rPr>
        <w:t xml:space="preserve">Допоміжні речовини: </w:t>
      </w:r>
      <w:r w:rsidR="003F7A92" w:rsidRPr="00EC7216">
        <w:rPr>
          <w:spacing w:val="-1"/>
        </w:rPr>
        <w:t>1,2-пропіленгліколь</w:t>
      </w:r>
      <w:r w:rsidR="003F7A92" w:rsidRPr="00EC7216">
        <w:rPr>
          <w:spacing w:val="-1"/>
          <w:lang w:val="uk-UA"/>
        </w:rPr>
        <w:t>,</w:t>
      </w:r>
      <w:r w:rsidR="003F7A92" w:rsidRPr="00EC7216">
        <w:rPr>
          <w:spacing w:val="-1"/>
        </w:rPr>
        <w:t xml:space="preserve"> </w:t>
      </w:r>
      <w:r w:rsidRPr="00EC7216">
        <w:rPr>
          <w:spacing w:val="-1"/>
        </w:rPr>
        <w:t>спирт бензиловий, кислота ортофосфорна, вода для ін’єкцій.</w:t>
      </w:r>
    </w:p>
    <w:p w:rsidR="005F1540" w:rsidRPr="00EC7216" w:rsidRDefault="005F1540" w:rsidP="005F1540">
      <w:pPr>
        <w:shd w:val="clear" w:color="auto" w:fill="FFFFFF"/>
        <w:ind w:left="547"/>
        <w:rPr>
          <w:lang w:val="uk-UA"/>
        </w:rPr>
      </w:pPr>
      <w:r w:rsidRPr="00EC7216">
        <w:rPr>
          <w:b/>
          <w:lang w:val="uk-UA"/>
        </w:rPr>
        <w:t>3. Фармацевтична  форма</w:t>
      </w:r>
      <w:r w:rsidRPr="00EC7216">
        <w:rPr>
          <w:lang w:val="uk-UA"/>
        </w:rPr>
        <w:t xml:space="preserve">      </w:t>
      </w:r>
    </w:p>
    <w:p w:rsidR="005F1540" w:rsidRPr="00EC7216" w:rsidRDefault="005F1540" w:rsidP="005F1540">
      <w:pPr>
        <w:ind w:firstLine="567"/>
        <w:jc w:val="both"/>
        <w:rPr>
          <w:lang w:val="uk-UA"/>
        </w:rPr>
      </w:pPr>
      <w:r w:rsidRPr="00EC7216">
        <w:rPr>
          <w:lang w:val="uk-UA"/>
        </w:rPr>
        <w:t xml:space="preserve">Розчин для ін’єкцій. </w:t>
      </w:r>
    </w:p>
    <w:p w:rsidR="005F1540" w:rsidRPr="00EC7216" w:rsidRDefault="005F1540" w:rsidP="005F1540">
      <w:pPr>
        <w:ind w:firstLine="567"/>
        <w:jc w:val="both"/>
        <w:rPr>
          <w:b/>
          <w:lang w:val="uk-UA"/>
        </w:rPr>
      </w:pPr>
      <w:r w:rsidRPr="00EC7216">
        <w:rPr>
          <w:b/>
          <w:lang w:val="uk-UA"/>
        </w:rPr>
        <w:t>4.  Фармакологічні  властивості</w:t>
      </w:r>
    </w:p>
    <w:p w:rsidR="00385489" w:rsidRPr="00EC7216" w:rsidRDefault="00385489" w:rsidP="00385489">
      <w:pPr>
        <w:ind w:firstLine="567"/>
        <w:jc w:val="both"/>
        <w:rPr>
          <w:b/>
          <w:i/>
          <w:lang w:val="uk-UA"/>
        </w:rPr>
      </w:pPr>
      <w:r w:rsidRPr="00EC7216">
        <w:rPr>
          <w:b/>
          <w:i/>
        </w:rPr>
        <w:t xml:space="preserve">АТС vet класифікаційний код QJ01 </w:t>
      </w:r>
      <w:r w:rsidRPr="00EC7216">
        <w:rPr>
          <w:b/>
          <w:i/>
          <w:lang w:val="uk-UA"/>
        </w:rPr>
        <w:t>–</w:t>
      </w:r>
      <w:r w:rsidRPr="00EC7216">
        <w:rPr>
          <w:b/>
          <w:i/>
        </w:rPr>
        <w:t xml:space="preserve"> антибактеріальні ветеринарні препарати для системного застосування.  QJ01X</w:t>
      </w:r>
      <w:r w:rsidRPr="00EC7216">
        <w:rPr>
          <w:b/>
          <w:i/>
          <w:lang w:val="en-US"/>
        </w:rPr>
        <w:t>Q</w:t>
      </w:r>
      <w:r w:rsidRPr="00EC7216">
        <w:rPr>
          <w:b/>
          <w:i/>
          <w:lang w:val="uk-UA"/>
        </w:rPr>
        <w:t>01 –</w:t>
      </w:r>
      <w:r w:rsidRPr="00EC7216">
        <w:rPr>
          <w:b/>
          <w:i/>
        </w:rPr>
        <w:t xml:space="preserve"> Тіамулін</w:t>
      </w:r>
      <w:r w:rsidRPr="00EC7216">
        <w:rPr>
          <w:b/>
          <w:i/>
          <w:lang w:val="uk-UA"/>
        </w:rPr>
        <w:t>.</w:t>
      </w:r>
    </w:p>
    <w:p w:rsidR="00385489" w:rsidRPr="00EC7216" w:rsidRDefault="00385489" w:rsidP="00385489">
      <w:pPr>
        <w:ind w:firstLine="567"/>
        <w:jc w:val="both"/>
        <w:rPr>
          <w:lang w:val="uk-UA"/>
        </w:rPr>
      </w:pPr>
      <w:r w:rsidRPr="00EC7216">
        <w:t xml:space="preserve">Тіамулін – напівсинтетичний антибіотик, який належить до групи плевромутиліну. </w:t>
      </w:r>
    </w:p>
    <w:p w:rsidR="00385489" w:rsidRPr="00EC7216" w:rsidRDefault="00385489" w:rsidP="00385489">
      <w:pPr>
        <w:shd w:val="clear" w:color="auto" w:fill="FFFFFF"/>
        <w:ind w:right="29" w:firstLine="567"/>
        <w:jc w:val="both"/>
        <w:rPr>
          <w:u w:val="single"/>
          <w:lang w:val="uk-UA"/>
        </w:rPr>
      </w:pPr>
      <w:r w:rsidRPr="00EC7216">
        <w:rPr>
          <w:spacing w:val="1"/>
        </w:rPr>
        <w:t>Діє тіамулін на 70S рибосомних рівнях. Основне місце зв'язку</w:t>
      </w:r>
      <w:r w:rsidRPr="00EC7216">
        <w:rPr>
          <w:spacing w:val="1"/>
          <w:lang w:val="uk-UA"/>
        </w:rPr>
        <w:t xml:space="preserve"> тіамуліну</w:t>
      </w:r>
      <w:r w:rsidRPr="00EC7216">
        <w:rPr>
          <w:spacing w:val="1"/>
        </w:rPr>
        <w:t xml:space="preserve"> з рибосомами знаходиться на 50S субодиниці, і можливе місце зв'язку </w:t>
      </w:r>
      <w:r w:rsidRPr="00EC7216">
        <w:rPr>
          <w:lang w:val="uk-UA"/>
        </w:rPr>
        <w:t>–</w:t>
      </w:r>
      <w:r w:rsidRPr="00EC7216">
        <w:rPr>
          <w:spacing w:val="1"/>
        </w:rPr>
        <w:t xml:space="preserve"> в місцях з'єднання субодиниць 50S та 30S. Він гальмує </w:t>
      </w:r>
      <w:r w:rsidRPr="00EC7216">
        <w:rPr>
          <w:spacing w:val="-2"/>
        </w:rPr>
        <w:t xml:space="preserve">синтез мікробного білка, створюючи біохімічно неактивні ініціативні комплекси, що попереджують </w:t>
      </w:r>
      <w:r w:rsidRPr="00EC7216">
        <w:rPr>
          <w:spacing w:val="1"/>
        </w:rPr>
        <w:t>ріст поліпептидного ланцюга. Тіамулін володіє бактеріостатичн</w:t>
      </w:r>
      <w:r w:rsidRPr="00EC7216">
        <w:rPr>
          <w:spacing w:val="1"/>
          <w:lang w:val="uk-UA"/>
        </w:rPr>
        <w:t>ою</w:t>
      </w:r>
      <w:r w:rsidRPr="00EC7216">
        <w:rPr>
          <w:spacing w:val="1"/>
        </w:rPr>
        <w:t xml:space="preserve"> дією проти </w:t>
      </w:r>
      <w:r w:rsidRPr="00EC7216">
        <w:rPr>
          <w:spacing w:val="6"/>
        </w:rPr>
        <w:t xml:space="preserve">мікоплазм </w:t>
      </w:r>
      <w:r w:rsidRPr="00EC7216">
        <w:rPr>
          <w:iCs/>
          <w:spacing w:val="6"/>
        </w:rPr>
        <w:t>(</w:t>
      </w:r>
      <w:r w:rsidRPr="00EC7216">
        <w:rPr>
          <w:i/>
          <w:iCs/>
          <w:spacing w:val="-2"/>
          <w:lang w:val="en-US"/>
        </w:rPr>
        <w:t>Mycoplasma</w:t>
      </w:r>
      <w:r w:rsidRPr="00EC7216">
        <w:rPr>
          <w:i/>
          <w:iCs/>
          <w:spacing w:val="6"/>
        </w:rPr>
        <w:t xml:space="preserve"> hyopneurnoniae, M.</w:t>
      </w:r>
      <w:r w:rsidRPr="00EC7216">
        <w:rPr>
          <w:i/>
          <w:iCs/>
          <w:spacing w:val="6"/>
          <w:lang w:val="uk-UA"/>
        </w:rPr>
        <w:t xml:space="preserve"> </w:t>
      </w:r>
      <w:r w:rsidRPr="00EC7216">
        <w:rPr>
          <w:i/>
          <w:iCs/>
          <w:spacing w:val="6"/>
        </w:rPr>
        <w:t>hyosynoviae, M.</w:t>
      </w:r>
      <w:r w:rsidRPr="00EC7216">
        <w:rPr>
          <w:i/>
          <w:iCs/>
          <w:spacing w:val="6"/>
          <w:lang w:val="uk-UA"/>
        </w:rPr>
        <w:t xml:space="preserve"> </w:t>
      </w:r>
      <w:r w:rsidRPr="00EC7216">
        <w:rPr>
          <w:i/>
          <w:iCs/>
          <w:spacing w:val="6"/>
        </w:rPr>
        <w:t>hyorhinis</w:t>
      </w:r>
      <w:r w:rsidRPr="00EC7216">
        <w:rPr>
          <w:iCs/>
          <w:spacing w:val="6"/>
        </w:rPr>
        <w:t>)</w:t>
      </w:r>
      <w:r w:rsidRPr="00EC7216">
        <w:rPr>
          <w:i/>
          <w:iCs/>
          <w:spacing w:val="6"/>
        </w:rPr>
        <w:t xml:space="preserve"> </w:t>
      </w:r>
      <w:r w:rsidRPr="00EC7216">
        <w:rPr>
          <w:spacing w:val="6"/>
        </w:rPr>
        <w:t xml:space="preserve">та спірохет </w:t>
      </w:r>
      <w:r w:rsidRPr="00EC7216">
        <w:rPr>
          <w:iCs/>
          <w:spacing w:val="6"/>
        </w:rPr>
        <w:t>(</w:t>
      </w:r>
      <w:r w:rsidRPr="00EC7216">
        <w:rPr>
          <w:i/>
        </w:rPr>
        <w:t>Brachyspira innocens, Brachyspira pilosicoli</w:t>
      </w:r>
      <w:r w:rsidRPr="00EC7216">
        <w:rPr>
          <w:iCs/>
          <w:noProof/>
          <w:spacing w:val="-5"/>
        </w:rPr>
        <w:t>)</w:t>
      </w:r>
      <w:r w:rsidRPr="00EC7216">
        <w:rPr>
          <w:iCs/>
          <w:noProof/>
          <w:spacing w:val="-5"/>
          <w:lang w:val="uk-UA"/>
        </w:rPr>
        <w:t>,</w:t>
      </w:r>
      <w:r w:rsidRPr="00EC7216">
        <w:rPr>
          <w:i/>
          <w:iCs/>
          <w:noProof/>
          <w:spacing w:val="-5"/>
          <w:lang w:val="uk-UA"/>
        </w:rPr>
        <w:t xml:space="preserve"> </w:t>
      </w:r>
      <w:r w:rsidRPr="00EC7216">
        <w:rPr>
          <w:iCs/>
          <w:noProof/>
          <w:spacing w:val="-5"/>
          <w:lang w:val="uk-UA"/>
        </w:rPr>
        <w:t>г</w:t>
      </w:r>
      <w:r w:rsidRPr="00EC7216">
        <w:rPr>
          <w:spacing w:val="-5"/>
        </w:rPr>
        <w:t>рампозитивн</w:t>
      </w:r>
      <w:r w:rsidRPr="00EC7216">
        <w:rPr>
          <w:spacing w:val="-5"/>
          <w:lang w:val="uk-UA"/>
        </w:rPr>
        <w:t>их</w:t>
      </w:r>
      <w:r w:rsidRPr="00EC7216">
        <w:rPr>
          <w:spacing w:val="-5"/>
        </w:rPr>
        <w:t xml:space="preserve"> аероб</w:t>
      </w:r>
      <w:r w:rsidRPr="00EC7216">
        <w:rPr>
          <w:spacing w:val="-5"/>
          <w:lang w:val="uk-UA"/>
        </w:rPr>
        <w:t>ів</w:t>
      </w:r>
      <w:r w:rsidRPr="00EC7216">
        <w:rPr>
          <w:spacing w:val="-5"/>
        </w:rPr>
        <w:t xml:space="preserve"> </w:t>
      </w:r>
      <w:r w:rsidRPr="00EC7216">
        <w:rPr>
          <w:iCs/>
          <w:noProof/>
          <w:spacing w:val="-5"/>
        </w:rPr>
        <w:t>(</w:t>
      </w:r>
      <w:r w:rsidRPr="00EC7216">
        <w:rPr>
          <w:i/>
          <w:iCs/>
          <w:noProof/>
          <w:spacing w:val="-5"/>
        </w:rPr>
        <w:t xml:space="preserve">Staphylococcus spp., </w:t>
      </w:r>
      <w:r w:rsidRPr="00EC7216">
        <w:rPr>
          <w:i/>
          <w:iCs/>
          <w:spacing w:val="-5"/>
        </w:rPr>
        <w:t xml:space="preserve">Streptococcus spp., Corynebacterium </w:t>
      </w:r>
      <w:r w:rsidRPr="00EC7216">
        <w:rPr>
          <w:i/>
          <w:iCs/>
          <w:noProof/>
          <w:spacing w:val="-5"/>
        </w:rPr>
        <w:t xml:space="preserve">pyogenes), </w:t>
      </w:r>
      <w:r w:rsidRPr="00EC7216">
        <w:t xml:space="preserve">анаероби </w:t>
      </w:r>
      <w:r w:rsidRPr="00EC7216">
        <w:rPr>
          <w:iCs/>
        </w:rPr>
        <w:t>(</w:t>
      </w:r>
      <w:r w:rsidRPr="00EC7216">
        <w:rPr>
          <w:i/>
          <w:iCs/>
          <w:noProof/>
        </w:rPr>
        <w:t>Clostridi</w:t>
      </w:r>
      <w:r w:rsidRPr="00EC7216">
        <w:rPr>
          <w:i/>
          <w:iCs/>
          <w:noProof/>
          <w:lang w:val="en-US"/>
        </w:rPr>
        <w:t>um</w:t>
      </w:r>
      <w:r w:rsidRPr="00EC7216">
        <w:rPr>
          <w:i/>
          <w:iCs/>
          <w:noProof/>
        </w:rPr>
        <w:t xml:space="preserve"> spp</w:t>
      </w:r>
      <w:r w:rsidRPr="00EC7216">
        <w:rPr>
          <w:iCs/>
          <w:noProof/>
        </w:rPr>
        <w:t>.),</w:t>
      </w:r>
      <w:r w:rsidRPr="00EC7216">
        <w:rPr>
          <w:i/>
          <w:iCs/>
          <w:noProof/>
        </w:rPr>
        <w:t xml:space="preserve"> </w:t>
      </w:r>
      <w:r w:rsidRPr="00EC7216">
        <w:t>грамнегативн</w:t>
      </w:r>
      <w:r w:rsidRPr="00EC7216">
        <w:rPr>
          <w:lang w:val="uk-UA"/>
        </w:rPr>
        <w:t>их</w:t>
      </w:r>
      <w:r w:rsidRPr="00EC7216">
        <w:t xml:space="preserve"> анаероб</w:t>
      </w:r>
      <w:r w:rsidRPr="00EC7216">
        <w:rPr>
          <w:lang w:val="uk-UA"/>
        </w:rPr>
        <w:t>ів</w:t>
      </w:r>
      <w:r w:rsidRPr="00EC7216">
        <w:t xml:space="preserve"> (</w:t>
      </w:r>
      <w:r w:rsidRPr="00EC7216">
        <w:rPr>
          <w:i/>
          <w:iCs/>
          <w:noProof/>
        </w:rPr>
        <w:t xml:space="preserve">Lawsonia intracellular, Bacteroides spp. </w:t>
      </w:r>
      <w:r w:rsidRPr="00EC7216">
        <w:rPr>
          <w:iCs/>
        </w:rPr>
        <w:t>ma</w:t>
      </w:r>
      <w:r w:rsidRPr="00EC7216">
        <w:rPr>
          <w:i/>
          <w:iCs/>
        </w:rPr>
        <w:t xml:space="preserve"> </w:t>
      </w:r>
      <w:r w:rsidRPr="00EC7216">
        <w:rPr>
          <w:i/>
          <w:iCs/>
          <w:spacing w:val="7"/>
        </w:rPr>
        <w:t xml:space="preserve">Fusobacterium </w:t>
      </w:r>
      <w:r w:rsidRPr="00EC7216">
        <w:rPr>
          <w:i/>
          <w:iCs/>
          <w:noProof/>
          <w:spacing w:val="7"/>
        </w:rPr>
        <w:t>spp.</w:t>
      </w:r>
      <w:r w:rsidRPr="00EC7216">
        <w:rPr>
          <w:iCs/>
          <w:noProof/>
          <w:spacing w:val="7"/>
        </w:rPr>
        <w:t>)</w:t>
      </w:r>
      <w:r w:rsidRPr="00EC7216">
        <w:rPr>
          <w:iCs/>
          <w:noProof/>
          <w:spacing w:val="7"/>
          <w:lang w:val="uk-UA"/>
        </w:rPr>
        <w:t>.</w:t>
      </w:r>
      <w:r w:rsidRPr="00EC7216">
        <w:rPr>
          <w:spacing w:val="7"/>
        </w:rPr>
        <w:t xml:space="preserve"> </w:t>
      </w:r>
      <w:r w:rsidRPr="00EC7216">
        <w:rPr>
          <w:spacing w:val="7"/>
          <w:lang w:val="uk-UA"/>
        </w:rPr>
        <w:t>Г</w:t>
      </w:r>
      <w:r w:rsidRPr="00EC7216">
        <w:rPr>
          <w:spacing w:val="7"/>
        </w:rPr>
        <w:t xml:space="preserve">рамнегативні аероби </w:t>
      </w:r>
      <w:r w:rsidRPr="00EC7216">
        <w:rPr>
          <w:iCs/>
          <w:noProof/>
          <w:spacing w:val="7"/>
        </w:rPr>
        <w:t>(</w:t>
      </w:r>
      <w:r w:rsidRPr="00EC7216">
        <w:rPr>
          <w:i/>
          <w:iCs/>
          <w:noProof/>
          <w:spacing w:val="7"/>
        </w:rPr>
        <w:t xml:space="preserve">Actinobacillus pleuropneumoniae, </w:t>
      </w:r>
      <w:r w:rsidRPr="00EC7216">
        <w:rPr>
          <w:i/>
          <w:iCs/>
          <w:spacing w:val="7"/>
        </w:rPr>
        <w:t xml:space="preserve">Pasteurella </w:t>
      </w:r>
      <w:r w:rsidRPr="00EC7216">
        <w:rPr>
          <w:i/>
          <w:iCs/>
          <w:noProof/>
          <w:spacing w:val="7"/>
        </w:rPr>
        <w:t>multocida</w:t>
      </w:r>
      <w:r w:rsidRPr="00EC7216">
        <w:rPr>
          <w:iCs/>
          <w:noProof/>
          <w:spacing w:val="7"/>
        </w:rPr>
        <w:t>)</w:t>
      </w:r>
      <w:r w:rsidRPr="00EC7216">
        <w:rPr>
          <w:i/>
          <w:iCs/>
          <w:noProof/>
          <w:spacing w:val="7"/>
        </w:rPr>
        <w:t xml:space="preserve"> </w:t>
      </w:r>
      <w:r w:rsidRPr="00EC7216">
        <w:rPr>
          <w:spacing w:val="7"/>
          <w:lang w:val="uk-UA"/>
        </w:rPr>
        <w:t>виявляють</w:t>
      </w:r>
      <w:r w:rsidRPr="00EC7216">
        <w:rPr>
          <w:spacing w:val="7"/>
        </w:rPr>
        <w:t xml:space="preserve"> високу чутливість </w:t>
      </w:r>
      <w:r w:rsidRPr="00EC7216">
        <w:rPr>
          <w:i/>
          <w:noProof/>
          <w:spacing w:val="7"/>
        </w:rPr>
        <w:t xml:space="preserve">in </w:t>
      </w:r>
      <w:r w:rsidRPr="00EC7216">
        <w:rPr>
          <w:i/>
          <w:spacing w:val="7"/>
        </w:rPr>
        <w:t>vitro</w:t>
      </w:r>
      <w:r w:rsidRPr="00EC7216">
        <w:rPr>
          <w:spacing w:val="7"/>
        </w:rPr>
        <w:t xml:space="preserve"> до тіамуліну. Тіамулін слабо діє проти </w:t>
      </w:r>
      <w:r w:rsidRPr="00EC7216">
        <w:t xml:space="preserve">ентеробактерій, таких як </w:t>
      </w:r>
      <w:r w:rsidRPr="00EC7216">
        <w:rPr>
          <w:i/>
          <w:iCs/>
        </w:rPr>
        <w:t xml:space="preserve">Salmonella spp. </w:t>
      </w:r>
      <w:r w:rsidRPr="00EC7216">
        <w:t xml:space="preserve">чи </w:t>
      </w:r>
      <w:r w:rsidRPr="00EC7216">
        <w:rPr>
          <w:i/>
          <w:iCs/>
          <w:noProof/>
        </w:rPr>
        <w:t xml:space="preserve">Escherichia </w:t>
      </w:r>
      <w:r w:rsidRPr="00EC7216">
        <w:rPr>
          <w:i/>
          <w:iCs/>
        </w:rPr>
        <w:t>col</w:t>
      </w:r>
      <w:r w:rsidRPr="00EC7216">
        <w:rPr>
          <w:i/>
          <w:iCs/>
          <w:lang w:val="en-US"/>
        </w:rPr>
        <w:t>i</w:t>
      </w:r>
      <w:r w:rsidRPr="00EC7216">
        <w:rPr>
          <w:i/>
          <w:iCs/>
        </w:rPr>
        <w:t>.</w:t>
      </w:r>
      <w:r w:rsidRPr="00EC7216">
        <w:rPr>
          <w:i/>
          <w:iCs/>
          <w:lang w:val="uk-UA"/>
        </w:rPr>
        <w:t xml:space="preserve"> </w:t>
      </w:r>
    </w:p>
    <w:p w:rsidR="00385489" w:rsidRPr="00EC7216" w:rsidRDefault="00385489" w:rsidP="00385489">
      <w:pPr>
        <w:ind w:firstLine="567"/>
        <w:jc w:val="both"/>
        <w:rPr>
          <w:lang w:val="uk-UA"/>
        </w:rPr>
      </w:pPr>
      <w:r w:rsidRPr="00EC7216">
        <w:rPr>
          <w:lang w:val="uk-UA"/>
        </w:rPr>
        <w:t xml:space="preserve">Тіамулін після внутрішньом’язового введення швидко абсорбується в кровообіг, добре розподіляється по організму та концентрується у легеневих тканинах. Після парентерального застосування тіамуліну у дозі 10-15 мг/кг м.т., найвищі його рівні в сироватці крові були виявлені через 2 години після введення. Через дві години після застосування концентрації тіамуліну в легеневому (15,6 мкг/мл) та бронхіальному епітелії (6,0 мкг/мл) були набагато більшими, ніж концентрації в плазмі крові. За парентерального введення тіамуліну свиням у дозі 13,6 мг на 1 кг маси тіла на добу впродовж 4 діб, концентрація тіамуліну в легенях становила 26,9 мкг/мл, в слизовій оболонці товстої кишки – 2,58 мкг/мл, і в товстій кишці – 3,09 мкг/мл. </w:t>
      </w:r>
    </w:p>
    <w:p w:rsidR="00385489" w:rsidRPr="00EC7216" w:rsidRDefault="00385489" w:rsidP="00385489">
      <w:pPr>
        <w:pStyle w:val="31"/>
        <w:spacing w:after="0"/>
        <w:ind w:firstLine="567"/>
        <w:jc w:val="both"/>
        <w:rPr>
          <w:sz w:val="24"/>
          <w:szCs w:val="24"/>
          <w:lang w:val="uk-UA"/>
        </w:rPr>
      </w:pPr>
      <w:r w:rsidRPr="00EC7216">
        <w:rPr>
          <w:sz w:val="24"/>
          <w:szCs w:val="24"/>
          <w:lang w:val="uk-UA"/>
        </w:rPr>
        <w:t>Більше, ніж 95% дози тіамуліну виводиться з організму свиней менше, ніж за добу, а період напіврозпаду становить менш, ніж 24 години. Тіамулін добре метаболізується, приблизно 60% застосованої дози виводиться з жовчю, близько 29% – з сечею.</w:t>
      </w:r>
    </w:p>
    <w:p w:rsidR="00385489" w:rsidRPr="00EC7216" w:rsidRDefault="00385489" w:rsidP="00385489">
      <w:pPr>
        <w:ind w:firstLine="567"/>
        <w:jc w:val="both"/>
        <w:rPr>
          <w:lang w:val="uk-UA"/>
        </w:rPr>
      </w:pPr>
      <w:r w:rsidRPr="00EC7216">
        <w:rPr>
          <w:b/>
          <w:lang w:val="uk-UA"/>
        </w:rPr>
        <w:t>5.  Клінічні  особливості:</w:t>
      </w:r>
    </w:p>
    <w:p w:rsidR="00385489" w:rsidRPr="00EC7216" w:rsidRDefault="00385489" w:rsidP="00385489">
      <w:pPr>
        <w:ind w:firstLine="567"/>
        <w:jc w:val="both"/>
        <w:rPr>
          <w:lang w:val="uk-UA"/>
        </w:rPr>
      </w:pPr>
      <w:r w:rsidRPr="00EC7216">
        <w:rPr>
          <w:b/>
          <w:lang w:val="uk-UA"/>
        </w:rPr>
        <w:t>5.1</w:t>
      </w:r>
      <w:r w:rsidRPr="00EC7216">
        <w:rPr>
          <w:lang w:val="uk-UA"/>
        </w:rPr>
        <w:t xml:space="preserve">  </w:t>
      </w:r>
      <w:r w:rsidRPr="00EC7216">
        <w:rPr>
          <w:b/>
          <w:lang w:val="uk-UA"/>
        </w:rPr>
        <w:t>Види  тварин:</w:t>
      </w:r>
    </w:p>
    <w:p w:rsidR="00385489" w:rsidRPr="00EC7216" w:rsidRDefault="00385489" w:rsidP="00385489">
      <w:pPr>
        <w:ind w:firstLine="567"/>
        <w:jc w:val="both"/>
        <w:rPr>
          <w:lang w:val="uk-UA"/>
        </w:rPr>
      </w:pPr>
      <w:r w:rsidRPr="00EC7216">
        <w:rPr>
          <w:lang w:val="uk-UA"/>
        </w:rPr>
        <w:t>Свині.</w:t>
      </w:r>
    </w:p>
    <w:p w:rsidR="00385489" w:rsidRPr="00EC7216" w:rsidRDefault="00385489" w:rsidP="00385489">
      <w:pPr>
        <w:ind w:firstLine="567"/>
        <w:jc w:val="both"/>
        <w:rPr>
          <w:lang w:val="uk-UA"/>
        </w:rPr>
      </w:pPr>
      <w:r w:rsidRPr="00EC7216">
        <w:rPr>
          <w:b/>
          <w:lang w:val="uk-UA"/>
        </w:rPr>
        <w:t>5.2  Покази до застосування</w:t>
      </w:r>
    </w:p>
    <w:p w:rsidR="00385489" w:rsidRPr="00EC7216" w:rsidRDefault="00385489" w:rsidP="00385489">
      <w:pPr>
        <w:ind w:left="14" w:right="34" w:firstLine="557"/>
        <w:jc w:val="both"/>
        <w:rPr>
          <w:spacing w:val="-1"/>
          <w:lang w:val="uk-UA"/>
        </w:rPr>
      </w:pPr>
      <w:r w:rsidRPr="00EC7216">
        <w:rPr>
          <w:spacing w:val="2"/>
          <w:lang w:val="uk-UA"/>
        </w:rPr>
        <w:t xml:space="preserve">Лікування свиней, хворих на дизентерію, ензоотичну пневмонію, </w:t>
      </w:r>
      <w:r w:rsidRPr="00EC7216">
        <w:rPr>
          <w:spacing w:val="-1"/>
          <w:lang w:val="uk-UA"/>
        </w:rPr>
        <w:t>плевропневмонію, мікоплазмозний артрит, що спричинені мікроорганізмами, чутливими до тіамуліну.</w:t>
      </w:r>
    </w:p>
    <w:p w:rsidR="00385489" w:rsidRPr="00EC7216" w:rsidRDefault="00385489" w:rsidP="00385489">
      <w:pPr>
        <w:ind w:firstLine="567"/>
        <w:rPr>
          <w:b/>
          <w:lang w:val="uk-UA"/>
        </w:rPr>
      </w:pPr>
      <w:r w:rsidRPr="00EC7216">
        <w:rPr>
          <w:b/>
          <w:lang w:val="uk-UA"/>
        </w:rPr>
        <w:t>5.3 Протипоказання</w:t>
      </w:r>
    </w:p>
    <w:p w:rsidR="00385489" w:rsidRPr="00EC7216" w:rsidRDefault="006D1317" w:rsidP="00385489">
      <w:pPr>
        <w:ind w:firstLine="567"/>
        <w:jc w:val="both"/>
      </w:pPr>
      <w:r w:rsidRPr="00EC7216">
        <w:t xml:space="preserve">Підвищена чутливість до тіамуліну або </w:t>
      </w:r>
      <w:r w:rsidRPr="00EC7216">
        <w:rPr>
          <w:lang w:val="uk-UA"/>
        </w:rPr>
        <w:t xml:space="preserve">до </w:t>
      </w:r>
      <w:r w:rsidRPr="00EC7216">
        <w:t>будь-яко</w:t>
      </w:r>
      <w:r w:rsidRPr="00EC7216">
        <w:rPr>
          <w:lang w:val="uk-UA"/>
        </w:rPr>
        <w:t xml:space="preserve">ї </w:t>
      </w:r>
      <w:r w:rsidRPr="00EC7216">
        <w:t xml:space="preserve"> з допом</w:t>
      </w:r>
      <w:r w:rsidRPr="00EC7216">
        <w:rPr>
          <w:lang w:val="uk-UA"/>
        </w:rPr>
        <w:t>і</w:t>
      </w:r>
      <w:r w:rsidRPr="00EC7216">
        <w:t>жних речовин</w:t>
      </w:r>
      <w:r w:rsidR="00385489" w:rsidRPr="00EC7216">
        <w:t xml:space="preserve">. </w:t>
      </w:r>
    </w:p>
    <w:p w:rsidR="00EC7216" w:rsidRDefault="00385489" w:rsidP="00385489">
      <w:pPr>
        <w:ind w:firstLine="567"/>
        <w:jc w:val="both"/>
      </w:pPr>
      <w:r w:rsidRPr="00EC7216">
        <w:t>Не застосовувати для нецільових тварин.</w:t>
      </w:r>
    </w:p>
    <w:p w:rsidR="00EC7216" w:rsidRDefault="00EC7216">
      <w:pPr>
        <w:spacing w:after="160" w:line="259" w:lineRule="auto"/>
      </w:pPr>
      <w:r>
        <w:br w:type="page"/>
      </w:r>
    </w:p>
    <w:p w:rsidR="00EC7216" w:rsidRDefault="00EC7216" w:rsidP="00EC7216">
      <w:pPr>
        <w:pStyle w:val="af0"/>
        <w:tabs>
          <w:tab w:val="center" w:pos="5159"/>
          <w:tab w:val="right" w:pos="10318"/>
        </w:tabs>
        <w:jc w:val="right"/>
        <w:rPr>
          <w:lang w:val="uk-UA"/>
        </w:rPr>
      </w:pPr>
      <w:r>
        <w:rPr>
          <w:lang w:val="uk-UA"/>
        </w:rPr>
        <w:lastRenderedPageBreak/>
        <w:t xml:space="preserve">Продовження додатку 1 </w:t>
      </w:r>
    </w:p>
    <w:p w:rsidR="00EC7216" w:rsidRPr="00EC7216" w:rsidRDefault="00EC7216" w:rsidP="00EC7216">
      <w:pPr>
        <w:pStyle w:val="af0"/>
        <w:jc w:val="right"/>
        <w:rPr>
          <w:lang w:val="uk-UA"/>
        </w:rPr>
      </w:pPr>
      <w:r>
        <w:rPr>
          <w:lang w:val="uk-UA"/>
        </w:rPr>
        <w:t>до реєстраційного посвідчення АВ-00950-01-10</w:t>
      </w:r>
    </w:p>
    <w:p w:rsidR="00385489" w:rsidRPr="00EC7216" w:rsidRDefault="00385489" w:rsidP="00385489">
      <w:pPr>
        <w:ind w:firstLine="567"/>
        <w:jc w:val="both"/>
        <w:rPr>
          <w:lang w:val="uk-UA"/>
        </w:rPr>
      </w:pPr>
    </w:p>
    <w:p w:rsidR="00385489" w:rsidRPr="00EC7216" w:rsidRDefault="00385489" w:rsidP="00385489">
      <w:pPr>
        <w:ind w:firstLine="567"/>
        <w:jc w:val="both"/>
        <w:rPr>
          <w:lang w:val="uk-UA"/>
        </w:rPr>
      </w:pPr>
      <w:r w:rsidRPr="00EC7216">
        <w:rPr>
          <w:lang w:val="uk-UA"/>
        </w:rPr>
        <w:t>Не застосовувати препарати, які містять монензин, наразин чи саліноміцин щонайменше 7 діб до, під час та після лікування тіамуліном, що може призвести до погіршення стану здоров'я чи навіть смерті.</w:t>
      </w:r>
    </w:p>
    <w:p w:rsidR="00385489" w:rsidRPr="00EC7216" w:rsidRDefault="00385489" w:rsidP="00385489">
      <w:pPr>
        <w:shd w:val="clear" w:color="auto" w:fill="FFFFFF"/>
        <w:ind w:left="50" w:right="5" w:firstLine="567"/>
        <w:jc w:val="both"/>
      </w:pPr>
      <w:r w:rsidRPr="00EC7216">
        <w:t>Не застосовувати свиноматкам в перші 5-6 тижнів поросності.</w:t>
      </w:r>
    </w:p>
    <w:p w:rsidR="00385489" w:rsidRPr="00EC7216" w:rsidRDefault="00385489" w:rsidP="00385489">
      <w:pPr>
        <w:shd w:val="clear" w:color="auto" w:fill="FFFFFF"/>
        <w:ind w:left="50" w:right="5" w:firstLine="567"/>
        <w:jc w:val="both"/>
        <w:rPr>
          <w:lang w:val="uk-UA"/>
        </w:rPr>
      </w:pPr>
      <w:r w:rsidRPr="00EC7216">
        <w:rPr>
          <w:lang w:val="uk-UA"/>
        </w:rPr>
        <w:t>Не застосовувати препарат одночасно з бета-лактамними антибіотиками.</w:t>
      </w:r>
    </w:p>
    <w:p w:rsidR="00385489" w:rsidRPr="00EC7216" w:rsidRDefault="00385489" w:rsidP="00385489">
      <w:pPr>
        <w:shd w:val="clear" w:color="auto" w:fill="FFFFFF"/>
        <w:ind w:left="50" w:right="5" w:firstLine="567"/>
        <w:jc w:val="both"/>
        <w:rPr>
          <w:lang w:val="uk-UA"/>
        </w:rPr>
      </w:pPr>
      <w:r w:rsidRPr="00EC7216">
        <w:rPr>
          <w:lang w:val="uk-UA"/>
        </w:rPr>
        <w:t>Не застосовувати тваринам з порушенням функції печінки.</w:t>
      </w:r>
    </w:p>
    <w:p w:rsidR="00385489" w:rsidRPr="00EC7216" w:rsidRDefault="00385489" w:rsidP="00385489">
      <w:pPr>
        <w:ind w:firstLine="567"/>
        <w:rPr>
          <w:b/>
          <w:lang w:val="uk-UA"/>
        </w:rPr>
      </w:pPr>
      <w:r w:rsidRPr="00EC7216">
        <w:rPr>
          <w:b/>
          <w:lang w:val="uk-UA"/>
        </w:rPr>
        <w:t>5.4  Побічна дія</w:t>
      </w:r>
    </w:p>
    <w:p w:rsidR="00385489" w:rsidRPr="00EC7216" w:rsidRDefault="00385489" w:rsidP="00385489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EC7216">
        <w:rPr>
          <w:lang w:val="uk-UA"/>
        </w:rPr>
        <w:t>В окремих випадках у невеликої частини тварин у місці ін'єкції можливо поява припухлості, болючості, еритеми, які зникають протягом 2-3 діб без стороннього втручання.</w:t>
      </w:r>
    </w:p>
    <w:p w:rsidR="00385489" w:rsidRPr="00EC7216" w:rsidRDefault="00385489" w:rsidP="00385489">
      <w:pPr>
        <w:pStyle w:val="a6"/>
        <w:spacing w:after="0"/>
        <w:ind w:left="0" w:firstLine="567"/>
        <w:jc w:val="both"/>
        <w:rPr>
          <w:lang w:val="uk-UA"/>
        </w:rPr>
      </w:pPr>
      <w:r w:rsidRPr="00EC7216">
        <w:rPr>
          <w:lang w:val="uk-UA"/>
        </w:rPr>
        <w:t>У незначних  випадках (у чутливих до складових препарату тварин) можливі алергічні явища (висипання на шкірі, свербіж та набряки). При їх виникненні застосування препарату припиняють та призначають десенсибілізуючу терапію.</w:t>
      </w:r>
    </w:p>
    <w:p w:rsidR="00385489" w:rsidRPr="00EC7216" w:rsidRDefault="00385489" w:rsidP="00385489">
      <w:pPr>
        <w:ind w:firstLine="567"/>
        <w:jc w:val="both"/>
        <w:rPr>
          <w:b/>
          <w:lang w:val="uk-UA"/>
        </w:rPr>
      </w:pPr>
      <w:r w:rsidRPr="00EC7216">
        <w:rPr>
          <w:b/>
          <w:lang w:val="uk-UA"/>
        </w:rPr>
        <w:t>5.5 Особливі застереження  при  використанні</w:t>
      </w:r>
      <w:r w:rsidRPr="00EC7216">
        <w:rPr>
          <w:b/>
          <w:lang w:val="uk-UA"/>
        </w:rPr>
        <w:tab/>
      </w:r>
    </w:p>
    <w:p w:rsidR="00385489" w:rsidRPr="00EC7216" w:rsidRDefault="00385489" w:rsidP="00385489">
      <w:pPr>
        <w:pStyle w:val="a6"/>
        <w:spacing w:after="0"/>
        <w:ind w:left="0" w:firstLine="567"/>
        <w:jc w:val="both"/>
        <w:rPr>
          <w:lang w:val="uk-UA"/>
        </w:rPr>
      </w:pPr>
      <w:r w:rsidRPr="00EC7216">
        <w:rPr>
          <w:lang w:val="uk-UA"/>
        </w:rPr>
        <w:t>Спочатку препарат випробовують на невеликій групі (7-8 тварин). За відсутності ускладнень протягом 2-3 діб препарат застосовують всьому поголів'ю. Рекомендується вводити в одне місце ін'єкції не більше 7 мл препарату.</w:t>
      </w:r>
    </w:p>
    <w:p w:rsidR="00385489" w:rsidRPr="00EC7216" w:rsidRDefault="00385489" w:rsidP="00385489">
      <w:pPr>
        <w:pStyle w:val="a6"/>
        <w:spacing w:after="0"/>
        <w:ind w:left="0" w:firstLine="567"/>
        <w:jc w:val="both"/>
        <w:rPr>
          <w:lang w:val="uk-UA"/>
        </w:rPr>
      </w:pPr>
      <w:r w:rsidRPr="00EC7216">
        <w:rPr>
          <w:lang w:val="uk-UA"/>
        </w:rPr>
        <w:t>Рекомендується перед застосуванням препарату визначити чутливість виділеного збудника до тіамуліну.</w:t>
      </w:r>
    </w:p>
    <w:p w:rsidR="00385489" w:rsidRPr="00EC7216" w:rsidRDefault="00385489" w:rsidP="00385489">
      <w:pPr>
        <w:ind w:firstLine="567"/>
        <w:jc w:val="both"/>
        <w:rPr>
          <w:b/>
          <w:lang w:val="uk-UA"/>
        </w:rPr>
      </w:pPr>
      <w:r w:rsidRPr="00EC7216">
        <w:rPr>
          <w:b/>
          <w:lang w:val="uk-UA"/>
        </w:rPr>
        <w:t>5.6</w:t>
      </w:r>
      <w:r w:rsidRPr="00EC7216">
        <w:rPr>
          <w:lang w:val="uk-UA"/>
        </w:rPr>
        <w:t xml:space="preserve">  </w:t>
      </w:r>
      <w:r w:rsidRPr="00EC7216">
        <w:rPr>
          <w:b/>
          <w:lang w:val="uk-UA"/>
        </w:rPr>
        <w:t>Застосування  під  час  вагітності,  лактації, несучості</w:t>
      </w:r>
    </w:p>
    <w:p w:rsidR="00385489" w:rsidRPr="00EC7216" w:rsidRDefault="00385489" w:rsidP="00385489">
      <w:pPr>
        <w:autoSpaceDE w:val="0"/>
        <w:autoSpaceDN w:val="0"/>
        <w:adjustRightInd w:val="0"/>
        <w:ind w:firstLine="567"/>
      </w:pPr>
      <w:r w:rsidRPr="00EC7216">
        <w:t>Не застосовувати свиноматкам в перші 5-6 тижнів поросності.</w:t>
      </w:r>
    </w:p>
    <w:p w:rsidR="00385489" w:rsidRPr="00EC7216" w:rsidRDefault="00385489" w:rsidP="00385489">
      <w:pPr>
        <w:autoSpaceDE w:val="0"/>
        <w:autoSpaceDN w:val="0"/>
        <w:adjustRightInd w:val="0"/>
        <w:ind w:firstLine="567"/>
        <w:rPr>
          <w:lang w:val="uk-UA"/>
        </w:rPr>
      </w:pPr>
      <w:bookmarkStart w:id="0" w:name="_GoBack"/>
      <w:bookmarkEnd w:id="0"/>
      <w:r w:rsidRPr="00EC7216">
        <w:rPr>
          <w:lang w:val="uk-UA"/>
        </w:rPr>
        <w:t>У період лактації препарат застосовують без обмежень.</w:t>
      </w:r>
    </w:p>
    <w:p w:rsidR="00385489" w:rsidRPr="00EC7216" w:rsidRDefault="00385489" w:rsidP="00385489">
      <w:pPr>
        <w:ind w:firstLine="567"/>
        <w:jc w:val="both"/>
        <w:rPr>
          <w:b/>
          <w:lang w:val="uk-UA"/>
        </w:rPr>
      </w:pPr>
      <w:r w:rsidRPr="00EC7216">
        <w:rPr>
          <w:b/>
          <w:lang w:val="uk-UA"/>
        </w:rPr>
        <w:t>5.7  Взаємодія  з  іншими  засобами  та  інші  форми  взаємодії</w:t>
      </w:r>
    </w:p>
    <w:p w:rsidR="00385489" w:rsidRPr="00EC7216" w:rsidRDefault="00385489" w:rsidP="00385489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EC7216">
        <w:t>Не застосовувати одночасно, а також впродовж 7 діб до, під час і після використання препарату з іонофорними кокцидіостатиками (саліноміцин</w:t>
      </w:r>
      <w:r w:rsidRPr="00EC7216">
        <w:rPr>
          <w:lang w:val="uk-UA"/>
        </w:rPr>
        <w:t>ом</w:t>
      </w:r>
      <w:r w:rsidRPr="00EC7216">
        <w:t>, монензин</w:t>
      </w:r>
      <w:r w:rsidRPr="00EC7216">
        <w:rPr>
          <w:lang w:val="uk-UA"/>
        </w:rPr>
        <w:t>ом</w:t>
      </w:r>
      <w:r w:rsidRPr="00EC7216">
        <w:t>, наразин</w:t>
      </w:r>
      <w:r w:rsidRPr="00EC7216">
        <w:rPr>
          <w:lang w:val="uk-UA"/>
        </w:rPr>
        <w:t>ом</w:t>
      </w:r>
      <w:r w:rsidRPr="00EC7216">
        <w:t>).</w:t>
      </w:r>
    </w:p>
    <w:p w:rsidR="00385489" w:rsidRPr="00EC7216" w:rsidRDefault="00385489" w:rsidP="00385489">
      <w:pPr>
        <w:ind w:firstLine="567"/>
        <w:jc w:val="both"/>
        <w:rPr>
          <w:b/>
          <w:lang w:val="uk-UA"/>
        </w:rPr>
      </w:pPr>
      <w:r w:rsidRPr="00EC7216">
        <w:rPr>
          <w:b/>
          <w:lang w:val="uk-UA"/>
        </w:rPr>
        <w:t>5.8 Дози і способи введення тваринам різного віку</w:t>
      </w:r>
    </w:p>
    <w:p w:rsidR="00385489" w:rsidRPr="00EC7216" w:rsidRDefault="00385489" w:rsidP="00385489">
      <w:pPr>
        <w:shd w:val="clear" w:color="auto" w:fill="FFFFFF"/>
        <w:ind w:firstLine="567"/>
        <w:jc w:val="both"/>
        <w:rPr>
          <w:lang w:val="uk-UA"/>
        </w:rPr>
      </w:pPr>
      <w:r w:rsidRPr="00EC7216">
        <w:rPr>
          <w:lang w:val="uk-UA"/>
        </w:rPr>
        <w:t>Внутрішньом'язово у дозах:</w:t>
      </w:r>
    </w:p>
    <w:p w:rsidR="00385489" w:rsidRPr="00EC7216" w:rsidRDefault="00385489" w:rsidP="00385489">
      <w:pPr>
        <w:ind w:firstLine="567"/>
        <w:jc w:val="both"/>
        <w:rPr>
          <w:spacing w:val="1"/>
          <w:lang w:val="uk-UA"/>
        </w:rPr>
      </w:pPr>
      <w:r w:rsidRPr="00EC7216">
        <w:rPr>
          <w:spacing w:val="2"/>
          <w:lang w:val="uk-UA"/>
        </w:rPr>
        <w:t>за лікування дизентерії – 1,0 мл препарату на 10</w:t>
      </w:r>
      <w:r w:rsidRPr="00EC7216">
        <w:rPr>
          <w:spacing w:val="1"/>
          <w:lang w:val="uk-UA"/>
        </w:rPr>
        <w:t xml:space="preserve"> </w:t>
      </w:r>
      <w:r w:rsidRPr="00EC7216">
        <w:rPr>
          <w:lang w:val="uk-UA"/>
        </w:rPr>
        <w:t xml:space="preserve">кг </w:t>
      </w:r>
      <w:r w:rsidRPr="00EC7216">
        <w:rPr>
          <w:spacing w:val="2"/>
          <w:lang w:val="uk-UA"/>
        </w:rPr>
        <w:t xml:space="preserve">маси тіла, що еквівалентно 10 мг </w:t>
      </w:r>
      <w:r w:rsidRPr="00EC7216">
        <w:rPr>
          <w:lang w:val="uk-UA"/>
        </w:rPr>
        <w:t xml:space="preserve">тіамуліну гідроген фумарату  </w:t>
      </w:r>
      <w:r w:rsidRPr="00EC7216">
        <w:rPr>
          <w:spacing w:val="2"/>
          <w:lang w:val="uk-UA"/>
        </w:rPr>
        <w:t xml:space="preserve">на 1 кг маси тіла, один раз на добу </w:t>
      </w:r>
      <w:r w:rsidRPr="00EC7216">
        <w:rPr>
          <w:spacing w:val="1"/>
          <w:lang w:val="uk-UA"/>
        </w:rPr>
        <w:t xml:space="preserve">протягом 3-5 діб; </w:t>
      </w:r>
    </w:p>
    <w:p w:rsidR="00385489" w:rsidRPr="00EC7216" w:rsidRDefault="00385489" w:rsidP="00385489">
      <w:pPr>
        <w:ind w:firstLine="567"/>
        <w:jc w:val="both"/>
        <w:rPr>
          <w:lang w:val="uk-UA"/>
        </w:rPr>
      </w:pPr>
      <w:r w:rsidRPr="00EC7216">
        <w:rPr>
          <w:spacing w:val="1"/>
          <w:lang w:val="uk-UA"/>
        </w:rPr>
        <w:t xml:space="preserve">за лікування ензоотичної пневмонії та мікоплазмозного артриру – 1,5 мл препарату на </w:t>
      </w:r>
      <w:smartTag w:uri="urn:schemas-microsoft-com:office:smarttags" w:element="metricconverter">
        <w:smartTagPr>
          <w:attr w:name="ProductID" w:val="12,5 кг"/>
        </w:smartTagPr>
        <w:r w:rsidRPr="00EC7216">
          <w:rPr>
            <w:spacing w:val="1"/>
            <w:lang w:val="uk-UA"/>
          </w:rPr>
          <w:t xml:space="preserve">12,5 </w:t>
        </w:r>
        <w:r w:rsidRPr="00EC7216">
          <w:rPr>
            <w:lang w:val="uk-UA"/>
          </w:rPr>
          <w:t>кг</w:t>
        </w:r>
      </w:smartTag>
      <w:r w:rsidRPr="00EC7216">
        <w:rPr>
          <w:lang w:val="uk-UA"/>
        </w:rPr>
        <w:t xml:space="preserve"> маси тіла, </w:t>
      </w:r>
      <w:r w:rsidRPr="00EC7216">
        <w:rPr>
          <w:spacing w:val="2"/>
          <w:lang w:val="uk-UA"/>
        </w:rPr>
        <w:t>що еквівалентно</w:t>
      </w:r>
      <w:r w:rsidRPr="00EC7216">
        <w:rPr>
          <w:lang w:val="uk-UA"/>
        </w:rPr>
        <w:t xml:space="preserve"> 12 мг тіамуліну гідроген фумарату на 1 кг маси тіла тварини, один раз на добу протягом 3 діб;</w:t>
      </w:r>
    </w:p>
    <w:p w:rsidR="00385489" w:rsidRPr="00EC7216" w:rsidRDefault="00385489" w:rsidP="00385489">
      <w:pPr>
        <w:ind w:firstLine="567"/>
        <w:jc w:val="both"/>
        <w:rPr>
          <w:lang w:val="uk-UA"/>
        </w:rPr>
      </w:pPr>
      <w:r w:rsidRPr="00EC7216">
        <w:rPr>
          <w:lang w:val="uk-UA"/>
        </w:rPr>
        <w:t xml:space="preserve">за лікування плевропневмонії, спричиненої </w:t>
      </w:r>
      <w:r w:rsidRPr="00EC7216">
        <w:rPr>
          <w:i/>
          <w:iCs/>
          <w:noProof/>
          <w:spacing w:val="7"/>
        </w:rPr>
        <w:t>Actinobacillus</w:t>
      </w:r>
      <w:r w:rsidRPr="00EC7216">
        <w:rPr>
          <w:i/>
          <w:iCs/>
          <w:noProof/>
          <w:spacing w:val="7"/>
          <w:lang w:val="uk-UA"/>
        </w:rPr>
        <w:t xml:space="preserve"> </w:t>
      </w:r>
      <w:r w:rsidRPr="00EC7216">
        <w:rPr>
          <w:i/>
          <w:iCs/>
        </w:rPr>
        <w:t>spp</w:t>
      </w:r>
      <w:r w:rsidRPr="00EC7216">
        <w:rPr>
          <w:i/>
          <w:iCs/>
          <w:lang w:val="uk-UA"/>
        </w:rPr>
        <w:t>.</w:t>
      </w:r>
      <w:r w:rsidRPr="00EC7216">
        <w:rPr>
          <w:rStyle w:val="a8"/>
          <w:shd w:val="clear" w:color="auto" w:fill="FFFFFF"/>
          <w:lang w:val="uk-UA"/>
        </w:rPr>
        <w:t xml:space="preserve"> </w:t>
      </w:r>
      <w:r w:rsidRPr="00EC7216">
        <w:rPr>
          <w:lang w:val="uk-UA"/>
        </w:rPr>
        <w:t>–</w:t>
      </w:r>
      <w:r w:rsidRPr="00EC7216">
        <w:rPr>
          <w:rStyle w:val="a8"/>
          <w:shd w:val="clear" w:color="auto" w:fill="FFFFFF"/>
          <w:lang w:val="uk-UA"/>
        </w:rPr>
        <w:t xml:space="preserve"> </w:t>
      </w:r>
      <w:r w:rsidRPr="00EC7216">
        <w:rPr>
          <w:lang w:val="uk-UA"/>
        </w:rPr>
        <w:t xml:space="preserve">1,5 мл </w:t>
      </w:r>
      <w:r w:rsidRPr="00EC7216">
        <w:rPr>
          <w:spacing w:val="2"/>
          <w:lang w:val="uk-UA"/>
        </w:rPr>
        <w:t xml:space="preserve">препарату на 12,5 кг маси тіла, що еквівалентно 12 мг </w:t>
      </w:r>
      <w:r w:rsidRPr="00EC7216">
        <w:rPr>
          <w:lang w:val="uk-UA"/>
        </w:rPr>
        <w:t xml:space="preserve">тіамуліну гідроген фумарату </w:t>
      </w:r>
      <w:r w:rsidRPr="00EC7216">
        <w:rPr>
          <w:spacing w:val="2"/>
          <w:lang w:val="uk-UA"/>
        </w:rPr>
        <w:t xml:space="preserve">на 1 кг маси тіла тварини, один раз на добу </w:t>
      </w:r>
      <w:r w:rsidRPr="00EC7216">
        <w:rPr>
          <w:spacing w:val="1"/>
          <w:lang w:val="uk-UA"/>
        </w:rPr>
        <w:t>протягом 3 діб.</w:t>
      </w:r>
    </w:p>
    <w:p w:rsidR="00385489" w:rsidRPr="00EC7216" w:rsidRDefault="00385489" w:rsidP="00385489">
      <w:pPr>
        <w:shd w:val="clear" w:color="auto" w:fill="FFFFFF"/>
        <w:ind w:left="34" w:right="2" w:firstLine="567"/>
        <w:jc w:val="both"/>
        <w:rPr>
          <w:lang w:val="uk-UA"/>
        </w:rPr>
      </w:pPr>
      <w:r w:rsidRPr="00EC7216">
        <w:rPr>
          <w:spacing w:val="5"/>
          <w:lang w:val="uk-UA"/>
        </w:rPr>
        <w:t xml:space="preserve">Для поліпшення абсорбції тіамуліну доцільно флакон із розчином перед введенням </w:t>
      </w:r>
      <w:r w:rsidRPr="00EC7216">
        <w:rPr>
          <w:spacing w:val="-1"/>
          <w:lang w:val="uk-UA"/>
        </w:rPr>
        <w:t xml:space="preserve">нагріти до 37 °С. Якщо об’єм дози, що перевищує 7 мл, рекомендується його вводити в </w:t>
      </w:r>
      <w:r w:rsidRPr="00EC7216">
        <w:rPr>
          <w:spacing w:val="-3"/>
          <w:lang w:val="uk-UA"/>
        </w:rPr>
        <w:t>декілька місць.</w:t>
      </w:r>
    </w:p>
    <w:p w:rsidR="00385489" w:rsidRPr="00EC7216" w:rsidRDefault="00385489" w:rsidP="00385489">
      <w:pPr>
        <w:ind w:firstLine="567"/>
        <w:jc w:val="both"/>
        <w:rPr>
          <w:b/>
          <w:lang w:val="uk-UA"/>
        </w:rPr>
      </w:pPr>
      <w:r w:rsidRPr="00EC7216">
        <w:rPr>
          <w:b/>
          <w:lang w:val="uk-UA"/>
        </w:rPr>
        <w:t>5.9</w:t>
      </w:r>
      <w:r w:rsidRPr="00EC7216">
        <w:rPr>
          <w:lang w:val="uk-UA"/>
        </w:rPr>
        <w:t xml:space="preserve"> </w:t>
      </w:r>
      <w:r w:rsidRPr="00EC7216">
        <w:rPr>
          <w:b/>
          <w:lang w:val="uk-UA"/>
        </w:rPr>
        <w:t>Передозування (симптоми, невідкладні заходи, антидоти)</w:t>
      </w:r>
    </w:p>
    <w:p w:rsidR="00385489" w:rsidRPr="00EC7216" w:rsidRDefault="00385489" w:rsidP="00385489">
      <w:pPr>
        <w:ind w:firstLine="567"/>
        <w:jc w:val="both"/>
        <w:rPr>
          <w:lang w:val="uk-UA"/>
        </w:rPr>
      </w:pPr>
      <w:r w:rsidRPr="00EC7216">
        <w:rPr>
          <w:lang w:val="uk-UA"/>
        </w:rPr>
        <w:t>Випадки негативної дії препарату, викликані одноразовим передозуванням, невідомі.</w:t>
      </w:r>
    </w:p>
    <w:p w:rsidR="00385489" w:rsidRPr="00EC7216" w:rsidRDefault="00385489" w:rsidP="00385489">
      <w:pPr>
        <w:ind w:firstLine="567"/>
        <w:jc w:val="both"/>
        <w:rPr>
          <w:lang w:val="uk-UA"/>
        </w:rPr>
      </w:pPr>
      <w:r w:rsidRPr="00EC7216">
        <w:rPr>
          <w:lang w:val="uk-UA"/>
        </w:rPr>
        <w:t>У місцях уведення препарату можлива болючість.</w:t>
      </w:r>
    </w:p>
    <w:p w:rsidR="00385489" w:rsidRPr="00EC7216" w:rsidRDefault="00385489" w:rsidP="00385489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EC7216">
        <w:rPr>
          <w:lang w:val="uk-UA"/>
        </w:rPr>
        <w:t>Немає кумулятивних властивостей.</w:t>
      </w:r>
    </w:p>
    <w:p w:rsidR="00385489" w:rsidRPr="00EC7216" w:rsidRDefault="00385489" w:rsidP="00385489">
      <w:pPr>
        <w:autoSpaceDE w:val="0"/>
        <w:autoSpaceDN w:val="0"/>
        <w:adjustRightInd w:val="0"/>
        <w:ind w:firstLine="567"/>
        <w:jc w:val="both"/>
      </w:pPr>
      <w:r w:rsidRPr="00EC7216">
        <w:rPr>
          <w:lang w:val="uk-UA"/>
        </w:rPr>
        <w:t xml:space="preserve">Препарат не володіє віддаленими побічними ефектами: ембріотоксичною, тератогенною, мутагенною дією.  </w:t>
      </w:r>
    </w:p>
    <w:p w:rsidR="00385489" w:rsidRPr="00EC7216" w:rsidRDefault="00385489" w:rsidP="00385489">
      <w:pPr>
        <w:pStyle w:val="a6"/>
        <w:spacing w:after="0"/>
        <w:ind w:left="0" w:firstLine="567"/>
        <w:jc w:val="both"/>
        <w:rPr>
          <w:lang w:val="uk-UA"/>
        </w:rPr>
      </w:pPr>
      <w:r w:rsidRPr="00EC7216">
        <w:rPr>
          <w:lang w:val="uk-UA"/>
        </w:rPr>
        <w:t>В окремих випадках можливі алергічні явища (висипання на шкірі, свербіж та набряки). При їх виникненні застосування препарату припиняють та призначають десенсибілізуючу терапію.</w:t>
      </w:r>
    </w:p>
    <w:p w:rsidR="00385489" w:rsidRPr="00EC7216" w:rsidRDefault="00385489" w:rsidP="00385489">
      <w:pPr>
        <w:ind w:firstLine="567"/>
        <w:jc w:val="both"/>
        <w:rPr>
          <w:lang w:val="uk-UA"/>
        </w:rPr>
      </w:pPr>
      <w:r w:rsidRPr="00EC7216">
        <w:rPr>
          <w:b/>
          <w:lang w:val="uk-UA"/>
        </w:rPr>
        <w:t>5.10</w:t>
      </w:r>
      <w:r w:rsidRPr="00EC7216">
        <w:rPr>
          <w:lang w:val="uk-UA"/>
        </w:rPr>
        <w:t xml:space="preserve">  </w:t>
      </w:r>
      <w:r w:rsidRPr="00EC7216">
        <w:rPr>
          <w:b/>
          <w:lang w:val="uk-UA"/>
        </w:rPr>
        <w:t xml:space="preserve">Спеціальні  застереження            </w:t>
      </w:r>
    </w:p>
    <w:p w:rsidR="005F1540" w:rsidRPr="00EC7216" w:rsidRDefault="00385489" w:rsidP="00385489">
      <w:pPr>
        <w:ind w:firstLine="567"/>
        <w:jc w:val="both"/>
        <w:rPr>
          <w:lang w:val="uk-UA"/>
        </w:rPr>
      </w:pPr>
      <w:r w:rsidRPr="00EC7216">
        <w:rPr>
          <w:lang w:val="uk-UA"/>
        </w:rPr>
        <w:t>Не виявлені.</w:t>
      </w:r>
    </w:p>
    <w:p w:rsidR="00EC7216" w:rsidRDefault="00EC7216" w:rsidP="00EC7216">
      <w:pPr>
        <w:pStyle w:val="af0"/>
        <w:tabs>
          <w:tab w:val="center" w:pos="5159"/>
          <w:tab w:val="right" w:pos="10318"/>
        </w:tabs>
        <w:jc w:val="right"/>
        <w:rPr>
          <w:lang w:val="uk-UA"/>
        </w:rPr>
      </w:pPr>
      <w:r>
        <w:rPr>
          <w:lang w:val="uk-UA"/>
        </w:rPr>
        <w:lastRenderedPageBreak/>
        <w:t xml:space="preserve">Продовження додатку 1 </w:t>
      </w:r>
    </w:p>
    <w:p w:rsidR="00EC7216" w:rsidRPr="00EC7216" w:rsidRDefault="00EC7216" w:rsidP="00EC7216">
      <w:pPr>
        <w:pStyle w:val="af0"/>
        <w:jc w:val="right"/>
        <w:rPr>
          <w:lang w:val="uk-UA"/>
        </w:rPr>
      </w:pPr>
      <w:r>
        <w:rPr>
          <w:lang w:val="uk-UA"/>
        </w:rPr>
        <w:t>до реєстраційного посвідчення АВ-00950-01-10</w:t>
      </w:r>
    </w:p>
    <w:p w:rsidR="005F1540" w:rsidRPr="00EC7216" w:rsidRDefault="005F1540" w:rsidP="005F1540">
      <w:pPr>
        <w:ind w:firstLine="567"/>
        <w:jc w:val="both"/>
        <w:rPr>
          <w:b/>
          <w:lang w:val="uk-UA"/>
        </w:rPr>
      </w:pPr>
      <w:r w:rsidRPr="00EC7216">
        <w:rPr>
          <w:b/>
          <w:lang w:val="uk-UA"/>
        </w:rPr>
        <w:t>5.11</w:t>
      </w:r>
      <w:r w:rsidRPr="00EC7216">
        <w:rPr>
          <w:lang w:val="uk-UA"/>
        </w:rPr>
        <w:t xml:space="preserve">  </w:t>
      </w:r>
      <w:r w:rsidRPr="00EC7216">
        <w:rPr>
          <w:b/>
          <w:lang w:val="uk-UA"/>
        </w:rPr>
        <w:t>Період виведення (каренції)</w:t>
      </w:r>
    </w:p>
    <w:p w:rsidR="005F1540" w:rsidRPr="00EC7216" w:rsidRDefault="005F1540" w:rsidP="005F1540">
      <w:pPr>
        <w:shd w:val="clear" w:color="auto" w:fill="FFFFFF"/>
        <w:ind w:firstLine="567"/>
        <w:jc w:val="both"/>
      </w:pPr>
      <w:r w:rsidRPr="00EC7216">
        <w:t xml:space="preserve">Забій тварин на м'ясо дозволяють через </w:t>
      </w:r>
      <w:r w:rsidRPr="00EC7216">
        <w:rPr>
          <w:lang w:val="uk-UA"/>
        </w:rPr>
        <w:t>10</w:t>
      </w:r>
      <w:r w:rsidRPr="00EC7216">
        <w:t xml:space="preserve"> діб після останнього застосування препарату. Отримане, до зазначеного терміну, м'ясо утилізують або згодовують непродуктивним тваринам залежно від висновку лікаря ветеринарної медицини.</w:t>
      </w:r>
    </w:p>
    <w:p w:rsidR="005F1540" w:rsidRPr="00EC7216" w:rsidRDefault="005F1540" w:rsidP="005F1540">
      <w:pPr>
        <w:ind w:firstLine="567"/>
        <w:jc w:val="both"/>
        <w:rPr>
          <w:lang w:val="uk-UA"/>
        </w:rPr>
      </w:pPr>
      <w:r w:rsidRPr="00EC7216">
        <w:rPr>
          <w:b/>
          <w:lang w:val="uk-UA"/>
        </w:rPr>
        <w:t>5.12 Спеціальні  для осіб і обслуговуючого персоналу</w:t>
      </w:r>
    </w:p>
    <w:p w:rsidR="005F1540" w:rsidRPr="00EC7216" w:rsidRDefault="005F1540" w:rsidP="005F1540">
      <w:pPr>
        <w:ind w:firstLine="567"/>
        <w:jc w:val="both"/>
        <w:rPr>
          <w:lang w:val="uk-UA"/>
        </w:rPr>
      </w:pPr>
      <w:r w:rsidRPr="00EC7216">
        <w:rPr>
          <w:lang w:val="uk-UA"/>
        </w:rPr>
        <w:t>Дотримуватись правил роботи з ветеринарними препаратами.</w:t>
      </w:r>
      <w:r w:rsidRPr="00EC7216">
        <w:rPr>
          <w:lang w:val="uk-UA"/>
        </w:rPr>
        <w:tab/>
      </w:r>
    </w:p>
    <w:p w:rsidR="005F1540" w:rsidRPr="00EC7216" w:rsidRDefault="005F1540" w:rsidP="005F1540">
      <w:pPr>
        <w:ind w:firstLine="567"/>
        <w:jc w:val="both"/>
        <w:rPr>
          <w:lang w:val="uk-UA"/>
        </w:rPr>
      </w:pPr>
      <w:r w:rsidRPr="00EC7216">
        <w:rPr>
          <w:b/>
          <w:lang w:val="uk-UA"/>
        </w:rPr>
        <w:t>6.  Фармацевтичні  особливості</w:t>
      </w:r>
    </w:p>
    <w:p w:rsidR="005F1540" w:rsidRPr="00EC7216" w:rsidRDefault="005F1540" w:rsidP="005F1540">
      <w:pPr>
        <w:ind w:firstLine="567"/>
        <w:jc w:val="both"/>
        <w:rPr>
          <w:b/>
          <w:lang w:val="uk-UA"/>
        </w:rPr>
      </w:pPr>
      <w:r w:rsidRPr="00EC7216">
        <w:rPr>
          <w:b/>
          <w:lang w:val="uk-UA"/>
        </w:rPr>
        <w:t>6.1 Форми несумісності</w:t>
      </w:r>
    </w:p>
    <w:p w:rsidR="005F1540" w:rsidRPr="00EC7216" w:rsidRDefault="005F1540" w:rsidP="005F1540">
      <w:pPr>
        <w:ind w:firstLine="567"/>
        <w:jc w:val="both"/>
        <w:rPr>
          <w:lang w:val="uk-UA"/>
        </w:rPr>
      </w:pPr>
      <w:r w:rsidRPr="00EC7216">
        <w:rPr>
          <w:lang w:val="uk-UA"/>
        </w:rPr>
        <w:t xml:space="preserve">Препарат </w:t>
      </w:r>
      <w:r w:rsidRPr="00EC7216">
        <w:rPr>
          <w:bCs/>
          <w:lang w:val="uk-UA"/>
        </w:rPr>
        <w:t>не</w:t>
      </w:r>
      <w:r w:rsidRPr="00EC7216">
        <w:rPr>
          <w:lang w:val="uk-UA"/>
        </w:rPr>
        <w:t xml:space="preserve"> застосовують одночасно з монензином, наразином або саліноміцином</w:t>
      </w:r>
    </w:p>
    <w:p w:rsidR="005F1540" w:rsidRPr="00EC7216" w:rsidRDefault="005F1540" w:rsidP="005F1540">
      <w:pPr>
        <w:ind w:firstLine="567"/>
        <w:jc w:val="both"/>
        <w:rPr>
          <w:lang w:val="uk-UA"/>
        </w:rPr>
      </w:pPr>
      <w:r w:rsidRPr="00EC7216">
        <w:rPr>
          <w:b/>
          <w:lang w:val="uk-UA"/>
        </w:rPr>
        <w:t>6.2 Термін  придатності</w:t>
      </w:r>
    </w:p>
    <w:p w:rsidR="005F1540" w:rsidRPr="00EC7216" w:rsidRDefault="005F1540" w:rsidP="005F1540">
      <w:pPr>
        <w:ind w:firstLine="567"/>
        <w:jc w:val="both"/>
        <w:rPr>
          <w:lang w:val="uk-UA"/>
        </w:rPr>
      </w:pPr>
      <w:r w:rsidRPr="00EC7216">
        <w:rPr>
          <w:lang w:val="uk-UA"/>
        </w:rPr>
        <w:t>24 місяці</w:t>
      </w:r>
      <w:r w:rsidRPr="00EC7216">
        <w:t>.</w:t>
      </w:r>
    </w:p>
    <w:p w:rsidR="005F1540" w:rsidRPr="00EC7216" w:rsidRDefault="005F1540" w:rsidP="005F1540">
      <w:pPr>
        <w:ind w:firstLine="567"/>
        <w:jc w:val="both"/>
        <w:rPr>
          <w:lang w:val="uk-UA"/>
        </w:rPr>
      </w:pPr>
      <w:r w:rsidRPr="00EC7216">
        <w:rPr>
          <w:lang w:val="uk-UA"/>
        </w:rPr>
        <w:t>Термін придатності після першого відбору з флакона становить 14 діб, за умов асептичного відбору препарату та подальшого зберігання флакона з препаратом за температури від 10</w:t>
      </w:r>
      <w:r w:rsidRPr="00EC7216">
        <w:t xml:space="preserve"> </w:t>
      </w:r>
      <w:r w:rsidRPr="00EC7216">
        <w:rPr>
          <w:lang w:val="uk-UA"/>
        </w:rPr>
        <w:t xml:space="preserve">до 15 °С. </w:t>
      </w:r>
    </w:p>
    <w:p w:rsidR="005F1540" w:rsidRPr="00EC7216" w:rsidRDefault="005F1540" w:rsidP="005F1540">
      <w:pPr>
        <w:ind w:firstLine="567"/>
        <w:jc w:val="both"/>
        <w:rPr>
          <w:lang w:val="uk-UA"/>
        </w:rPr>
      </w:pPr>
      <w:r w:rsidRPr="00EC7216">
        <w:rPr>
          <w:b/>
          <w:lang w:val="uk-UA"/>
        </w:rPr>
        <w:t>6.3  Особливі  заходи  зберігання</w:t>
      </w:r>
    </w:p>
    <w:p w:rsidR="005F1540" w:rsidRPr="00EC7216" w:rsidRDefault="005F1540" w:rsidP="005F1540">
      <w:pPr>
        <w:ind w:firstLine="567"/>
        <w:jc w:val="both"/>
      </w:pPr>
      <w:r w:rsidRPr="00EC7216">
        <w:rPr>
          <w:lang w:val="uk-UA"/>
        </w:rPr>
        <w:t xml:space="preserve">Сухе темне, недоступне для дітей місце за температури від 10 до 25 °С.                        </w:t>
      </w:r>
    </w:p>
    <w:p w:rsidR="005F1540" w:rsidRPr="00EC7216" w:rsidRDefault="005F1540" w:rsidP="005F1540">
      <w:pPr>
        <w:ind w:firstLine="567"/>
        <w:jc w:val="both"/>
      </w:pPr>
      <w:r w:rsidRPr="00EC7216">
        <w:rPr>
          <w:b/>
          <w:lang w:val="uk-UA"/>
        </w:rPr>
        <w:t>6.4  Природа  і  склад  контейнера первинного упакування</w:t>
      </w:r>
    </w:p>
    <w:p w:rsidR="005F1540" w:rsidRPr="00EC7216" w:rsidRDefault="005F1540" w:rsidP="005F1540">
      <w:pPr>
        <w:ind w:firstLine="567"/>
        <w:jc w:val="both"/>
      </w:pPr>
      <w:r w:rsidRPr="00EC7216">
        <w:t>Флакони з нейтрального скла марки НС-1, НС-2, УСП-1 закриті гумовими корками під алюмінієву обкатку по 10, 20, 50</w:t>
      </w:r>
      <w:r w:rsidRPr="00EC7216">
        <w:rPr>
          <w:lang w:val="uk-UA"/>
        </w:rPr>
        <w:t xml:space="preserve">, </w:t>
      </w:r>
      <w:r w:rsidRPr="00EC7216">
        <w:t>100</w:t>
      </w:r>
      <w:r w:rsidRPr="00EC7216">
        <w:rPr>
          <w:lang w:val="uk-UA"/>
        </w:rPr>
        <w:t xml:space="preserve"> та 200</w:t>
      </w:r>
      <w:r w:rsidRPr="00EC7216">
        <w:t xml:space="preserve"> мл. Вторинна упаковка – картонна коробка.</w:t>
      </w:r>
    </w:p>
    <w:p w:rsidR="005F1540" w:rsidRPr="00EC7216" w:rsidRDefault="005F1540" w:rsidP="005F1540">
      <w:pPr>
        <w:ind w:firstLine="567"/>
        <w:jc w:val="both"/>
        <w:rPr>
          <w:b/>
          <w:lang w:val="uk-UA"/>
        </w:rPr>
      </w:pPr>
      <w:r w:rsidRPr="00EC7216">
        <w:rPr>
          <w:b/>
          <w:lang w:val="uk-UA"/>
        </w:rPr>
        <w:t>6.5  Особливі заходи безпеки при поводженні з невикористаним препаратами або із його залишками.</w:t>
      </w:r>
    </w:p>
    <w:p w:rsidR="005F1540" w:rsidRPr="00EC7216" w:rsidRDefault="005F1540" w:rsidP="005F1540">
      <w:pPr>
        <w:ind w:firstLine="567"/>
        <w:jc w:val="both"/>
      </w:pPr>
      <w:r w:rsidRPr="00EC7216">
        <w:t>Порожню упаковку та залишки невикористаного препарату потрібно утилізувати згідно з чинним законодавством.</w:t>
      </w:r>
    </w:p>
    <w:p w:rsidR="005F1540" w:rsidRPr="00EC7216" w:rsidRDefault="005F1540" w:rsidP="005F1540">
      <w:pPr>
        <w:ind w:firstLine="567"/>
        <w:jc w:val="both"/>
        <w:rPr>
          <w:b/>
        </w:rPr>
      </w:pPr>
      <w:r w:rsidRPr="00EC7216">
        <w:rPr>
          <w:b/>
        </w:rPr>
        <w:t>7. Назва та місцезнаходження власника реєстраційного посвідчення</w:t>
      </w:r>
    </w:p>
    <w:p w:rsidR="005F1540" w:rsidRPr="00EC7216" w:rsidRDefault="005F1540" w:rsidP="005F1540">
      <w:pPr>
        <w:ind w:firstLine="567"/>
        <w:jc w:val="both"/>
        <w:rPr>
          <w:bCs/>
          <w:lang w:val="uk-UA"/>
        </w:rPr>
      </w:pPr>
      <w:r w:rsidRPr="00EC7216">
        <w:rPr>
          <w:spacing w:val="1"/>
          <w:lang w:val="uk-UA" w:eastAsia="ar-SA"/>
        </w:rPr>
        <w:t>Товариство з обмеженою відповідальністю "Ветсинтез"</w:t>
      </w:r>
    </w:p>
    <w:p w:rsidR="005F1540" w:rsidRPr="00EC7216" w:rsidRDefault="005F1540" w:rsidP="005F1540">
      <w:pPr>
        <w:shd w:val="clear" w:color="auto" w:fill="FFFFFF"/>
        <w:jc w:val="both"/>
        <w:rPr>
          <w:lang w:val="uk-UA" w:eastAsia="ar-SA"/>
        </w:rPr>
      </w:pPr>
      <w:r w:rsidRPr="00EC7216">
        <w:rPr>
          <w:lang w:val="uk-UA" w:eastAsia="ar-SA"/>
        </w:rPr>
        <w:t xml:space="preserve">          61001, м. Харків, вул. Бобанича Тараса, 30, </w:t>
      </w:r>
      <w:r w:rsidRPr="00EC7216">
        <w:rPr>
          <w:spacing w:val="2"/>
          <w:lang w:val="uk-UA" w:eastAsia="ar-SA"/>
        </w:rPr>
        <w:t>Україна</w:t>
      </w:r>
    </w:p>
    <w:p w:rsidR="005F1540" w:rsidRPr="00EC7216" w:rsidRDefault="005F1540" w:rsidP="005F1540">
      <w:pPr>
        <w:ind w:firstLine="567"/>
        <w:jc w:val="both"/>
        <w:rPr>
          <w:b/>
        </w:rPr>
      </w:pPr>
      <w:r w:rsidRPr="00EC7216">
        <w:rPr>
          <w:b/>
        </w:rPr>
        <w:t>8. Назва та місцезнаходження виробника (виробників)</w:t>
      </w:r>
    </w:p>
    <w:p w:rsidR="005F1540" w:rsidRPr="00EC7216" w:rsidRDefault="005F1540" w:rsidP="005F1540">
      <w:pPr>
        <w:ind w:firstLine="567"/>
        <w:jc w:val="both"/>
        <w:rPr>
          <w:bCs/>
          <w:lang w:val="uk-UA"/>
        </w:rPr>
      </w:pPr>
      <w:r w:rsidRPr="00EC7216">
        <w:rPr>
          <w:spacing w:val="1"/>
          <w:lang w:val="uk-UA" w:eastAsia="ar-SA"/>
        </w:rPr>
        <w:t>Товариство з обмеженою відповідальністю "Ветсинтез"</w:t>
      </w:r>
    </w:p>
    <w:p w:rsidR="005F1540" w:rsidRPr="00EC7216" w:rsidRDefault="005F1540" w:rsidP="005F1540">
      <w:pPr>
        <w:shd w:val="clear" w:color="auto" w:fill="FFFFFF"/>
        <w:jc w:val="both"/>
        <w:rPr>
          <w:lang w:val="uk-UA" w:eastAsia="ar-SA"/>
        </w:rPr>
      </w:pPr>
      <w:r w:rsidRPr="00EC7216">
        <w:rPr>
          <w:lang w:val="uk-UA" w:eastAsia="ar-SA"/>
        </w:rPr>
        <w:t xml:space="preserve">          61001, м. Харків, вул. Бобанича Тараса, 30, </w:t>
      </w:r>
      <w:r w:rsidRPr="00EC7216">
        <w:rPr>
          <w:spacing w:val="2"/>
          <w:lang w:val="uk-UA" w:eastAsia="ar-SA"/>
        </w:rPr>
        <w:t>Україна</w:t>
      </w:r>
    </w:p>
    <w:p w:rsidR="005F1540" w:rsidRPr="00EC7216" w:rsidRDefault="005F1540" w:rsidP="005F1540">
      <w:pPr>
        <w:ind w:firstLine="567"/>
      </w:pPr>
      <w:r w:rsidRPr="00EC7216">
        <w:rPr>
          <w:b/>
        </w:rPr>
        <w:t>9. Додаткова інформація</w:t>
      </w:r>
    </w:p>
    <w:p w:rsidR="00DB10F8" w:rsidRPr="00EC7216" w:rsidRDefault="00DB10F8"/>
    <w:sectPr w:rsidR="00DB10F8" w:rsidRPr="00EC7216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216" w:rsidRDefault="00EC7216" w:rsidP="00EC7216">
      <w:r>
        <w:separator/>
      </w:r>
    </w:p>
  </w:endnote>
  <w:endnote w:type="continuationSeparator" w:id="0">
    <w:p w:rsidR="00EC7216" w:rsidRDefault="00EC7216" w:rsidP="00EC7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0287279"/>
      <w:docPartObj>
        <w:docPartGallery w:val="Page Numbers (Bottom of Page)"/>
        <w:docPartUnique/>
      </w:docPartObj>
    </w:sdtPr>
    <w:sdtContent>
      <w:p w:rsidR="00310D65" w:rsidRDefault="00310D65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10D65" w:rsidRDefault="00310D65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216" w:rsidRDefault="00EC7216" w:rsidP="00EC7216">
      <w:r>
        <w:separator/>
      </w:r>
    </w:p>
  </w:footnote>
  <w:footnote w:type="continuationSeparator" w:id="0">
    <w:p w:rsidR="00EC7216" w:rsidRDefault="00EC7216" w:rsidP="00EC72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E09"/>
    <w:rsid w:val="000848E1"/>
    <w:rsid w:val="00171125"/>
    <w:rsid w:val="00184D48"/>
    <w:rsid w:val="00310D65"/>
    <w:rsid w:val="0031619E"/>
    <w:rsid w:val="00385489"/>
    <w:rsid w:val="003F7A92"/>
    <w:rsid w:val="00426035"/>
    <w:rsid w:val="005D4A90"/>
    <w:rsid w:val="005F1540"/>
    <w:rsid w:val="00664FCC"/>
    <w:rsid w:val="006D1317"/>
    <w:rsid w:val="006D5DC2"/>
    <w:rsid w:val="008A6904"/>
    <w:rsid w:val="00901AF4"/>
    <w:rsid w:val="009D6E09"/>
    <w:rsid w:val="00D01109"/>
    <w:rsid w:val="00DB10F8"/>
    <w:rsid w:val="00EA2442"/>
    <w:rsid w:val="00EC7216"/>
    <w:rsid w:val="00FB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."/>
  <w:listSeparator w:val=";"/>
  <w15:docId w15:val="{5C710FDC-8D06-48CA-B42C-16E7CD00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54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4D48"/>
    <w:pPr>
      <w:keepNext/>
      <w:keepLines/>
      <w:spacing w:before="360" w:after="80" w:line="360" w:lineRule="auto"/>
      <w:jc w:val="center"/>
      <w:outlineLvl w:val="0"/>
    </w:pPr>
    <w:rPr>
      <w:rFonts w:eastAsiaTheme="majorEastAsia" w:cstheme="majorBidi"/>
      <w:b/>
      <w:color w:val="000000" w:themeColor="text1"/>
      <w:sz w:val="28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01AF4"/>
    <w:pPr>
      <w:keepNext/>
      <w:keepLines/>
      <w:spacing w:before="480" w:after="480" w:line="360" w:lineRule="auto"/>
      <w:ind w:firstLine="709"/>
      <w:jc w:val="both"/>
      <w:outlineLvl w:val="1"/>
    </w:pPr>
    <w:rPr>
      <w:rFonts w:eastAsiaTheme="majorEastAsia" w:cstheme="majorBidi"/>
      <w:b/>
      <w:color w:val="000000" w:themeColor="text1"/>
      <w:sz w:val="28"/>
      <w:szCs w:val="26"/>
      <w:lang w:eastAsia="en-US"/>
    </w:rPr>
  </w:style>
  <w:style w:type="paragraph" w:styleId="3">
    <w:name w:val="heading 3"/>
    <w:basedOn w:val="a"/>
    <w:next w:val="a"/>
    <w:link w:val="30"/>
    <w:rsid w:val="00FB221A"/>
    <w:pPr>
      <w:keepNext/>
      <w:keepLines/>
      <w:spacing w:before="480" w:after="480" w:line="360" w:lineRule="auto"/>
      <w:ind w:firstLine="709"/>
      <w:jc w:val="both"/>
      <w:outlineLvl w:val="2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4D48"/>
    <w:rPr>
      <w:rFonts w:eastAsiaTheme="majorEastAsia" w:cstheme="majorBidi"/>
      <w:b/>
      <w:color w:val="000000" w:themeColor="text1"/>
      <w:sz w:val="28"/>
      <w:szCs w:val="40"/>
    </w:rPr>
  </w:style>
  <w:style w:type="paragraph" w:customStyle="1" w:styleId="a3">
    <w:name w:val="Курсачи"/>
    <w:basedOn w:val="a"/>
    <w:link w:val="a4"/>
    <w:qFormat/>
    <w:rsid w:val="008A6904"/>
    <w:pPr>
      <w:spacing w:line="360" w:lineRule="auto"/>
      <w:ind w:firstLine="709"/>
      <w:jc w:val="both"/>
    </w:pPr>
    <w:rPr>
      <w:rFonts w:eastAsiaTheme="minorHAnsi"/>
      <w:sz w:val="28"/>
      <w:szCs w:val="22"/>
      <w:lang w:eastAsia="en-US"/>
    </w:rPr>
  </w:style>
  <w:style w:type="character" w:customStyle="1" w:styleId="a4">
    <w:name w:val="Курсачи Знак"/>
    <w:basedOn w:val="a0"/>
    <w:link w:val="a3"/>
    <w:rsid w:val="008A6904"/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901AF4"/>
    <w:rPr>
      <w:rFonts w:eastAsiaTheme="majorEastAsia" w:cstheme="majorBidi"/>
      <w:b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rsid w:val="00FB221A"/>
    <w:rPr>
      <w:rFonts w:eastAsia="Times New Roman"/>
      <w:b/>
      <w:sz w:val="28"/>
      <w:szCs w:val="28"/>
      <w:lang w:val="uk-UA" w:eastAsia="ru-RU"/>
    </w:rPr>
  </w:style>
  <w:style w:type="paragraph" w:customStyle="1" w:styleId="a5">
    <w:name w:val="Таблиця"/>
    <w:basedOn w:val="a"/>
    <w:qFormat/>
    <w:rsid w:val="000848E1"/>
    <w:pPr>
      <w:spacing w:line="256" w:lineRule="auto"/>
    </w:pPr>
    <w:rPr>
      <w:rFonts w:eastAsiaTheme="minorHAnsi" w:cstheme="minorBidi"/>
      <w:bCs/>
      <w:kern w:val="2"/>
      <w:sz w:val="28"/>
      <w:szCs w:val="22"/>
      <w:lang w:val="uk-UA" w:eastAsia="en-US"/>
      <w14:ligatures w14:val="standardContextual"/>
    </w:rPr>
  </w:style>
  <w:style w:type="paragraph" w:styleId="a6">
    <w:name w:val="Body Text Indent"/>
    <w:aliases w:val=" Знак,Знак"/>
    <w:basedOn w:val="a"/>
    <w:link w:val="a7"/>
    <w:rsid w:val="005F1540"/>
    <w:pPr>
      <w:spacing w:after="120"/>
      <w:ind w:left="283"/>
    </w:pPr>
  </w:style>
  <w:style w:type="character" w:customStyle="1" w:styleId="a7">
    <w:name w:val="Основной текст с отступом Знак"/>
    <w:aliases w:val=" Знак Знак,Знак Знак"/>
    <w:basedOn w:val="a0"/>
    <w:link w:val="a6"/>
    <w:rsid w:val="005F1540"/>
    <w:rPr>
      <w:rFonts w:eastAsia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5F154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F1540"/>
    <w:rPr>
      <w:rFonts w:eastAsia="Times New Roman"/>
      <w:sz w:val="16"/>
      <w:szCs w:val="16"/>
      <w:lang w:eastAsia="ru-RU"/>
    </w:rPr>
  </w:style>
  <w:style w:type="character" w:styleId="a8">
    <w:name w:val="Emphasis"/>
    <w:basedOn w:val="a0"/>
    <w:uiPriority w:val="20"/>
    <w:qFormat/>
    <w:rsid w:val="005F1540"/>
    <w:rPr>
      <w:i/>
      <w:iCs/>
    </w:rPr>
  </w:style>
  <w:style w:type="character" w:styleId="a9">
    <w:name w:val="annotation reference"/>
    <w:basedOn w:val="a0"/>
    <w:uiPriority w:val="99"/>
    <w:semiHidden/>
    <w:unhideWhenUsed/>
    <w:rsid w:val="00664FC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64FCC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64FCC"/>
    <w:rPr>
      <w:rFonts w:eastAsia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64FC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64FCC"/>
    <w:rPr>
      <w:rFonts w:eastAsia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64FC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64FCC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EC7216"/>
    <w:pPr>
      <w:tabs>
        <w:tab w:val="center" w:pos="4819"/>
        <w:tab w:val="right" w:pos="9639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C7216"/>
    <w:rPr>
      <w:rFonts w:eastAsia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EC7216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C7216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1137</Words>
  <Characters>6481</Characters>
  <Application>Microsoft Office Word</Application>
  <DocSecurity>0</DocSecurity>
  <Lines>54</Lines>
  <Paragraphs>15</Paragraphs>
  <ScaleCrop>false</ScaleCrop>
  <Company/>
  <LinksUpToDate>false</LinksUpToDate>
  <CharactersWithSpaces>7603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Vasyl</cp:lastModifiedBy>
  <cp:revision>11</cp:revision>
  <dcterms:created xsi:type="dcterms:W3CDTF">2025-05-08T11:54:00Z</dcterms:created>
  <dcterms:modified xsi:type="dcterms:W3CDTF">2025-09-19T13:41:00Z</dcterms:modified>
</cp:coreProperties>
</file>